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43FAF4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E11377">
        <w:rPr>
          <w:rFonts w:asciiTheme="minorHAnsi" w:hAnsiTheme="minorHAnsi" w:cstheme="minorHAnsi"/>
          <w:sz w:val="32"/>
          <w:szCs w:val="28"/>
          <w:u w:val="single"/>
          <w:lang w:val="it-IT"/>
        </w:rPr>
        <w:t>7</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327F2AB"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11377">
        <w:rPr>
          <w:rFonts w:asciiTheme="minorHAnsi" w:hAnsiTheme="minorHAnsi" w:cstheme="minorHAnsi"/>
          <w:b/>
          <w:bCs/>
          <w:sz w:val="28"/>
          <w:szCs w:val="28"/>
        </w:rPr>
        <w:t>24</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111F45">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014EF88" w:rsidR="00E53D92" w:rsidRPr="002B3648" w:rsidRDefault="00E11377"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8A3D6B">
        <w:rPr>
          <w:noProof/>
        </w:rPr>
        <w:drawing>
          <wp:inline distT="0" distB="0" distL="0" distR="0" wp14:anchorId="1E36221B" wp14:editId="1DC7164A">
            <wp:extent cx="5349240" cy="3520440"/>
            <wp:effectExtent l="0" t="0" r="3810" b="3810"/>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histogram&#10;&#10;Description automatically generated"/>
                    <pic:cNvPicPr/>
                  </pic:nvPicPr>
                  <pic:blipFill>
                    <a:blip r:embed="rId8"/>
                    <a:stretch>
                      <a:fillRect/>
                    </a:stretch>
                  </pic:blipFill>
                  <pic:spPr>
                    <a:xfrm>
                      <a:off x="0" y="0"/>
                      <a:ext cx="5349240" cy="352044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BD7899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marzo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197D44AE" w14:textId="3EF1E309"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11377">
        <w:rPr>
          <w:rFonts w:asciiTheme="minorHAnsi" w:hAnsiTheme="minorHAnsi" w:cstheme="minorHAnsi"/>
          <w:sz w:val="22"/>
          <w:szCs w:val="22"/>
        </w:rPr>
        <w:t>77</w:t>
      </w:r>
      <w:r>
        <w:rPr>
          <w:rFonts w:asciiTheme="minorHAnsi" w:hAnsiTheme="minorHAnsi" w:cstheme="minorHAnsi"/>
          <w:sz w:val="22"/>
          <w:szCs w:val="22"/>
        </w:rPr>
        <w:t>,</w:t>
      </w:r>
      <w:r w:rsidR="00E11377">
        <w:rPr>
          <w:rFonts w:asciiTheme="minorHAnsi" w:hAnsiTheme="minorHAnsi" w:cstheme="minorHAnsi"/>
          <w:sz w:val="22"/>
          <w:szCs w:val="22"/>
        </w:rPr>
        <w:t>56</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las gasolinas registraron un precio superior a </w:t>
      </w:r>
      <w:r w:rsidR="00E11377">
        <w:rPr>
          <w:rFonts w:asciiTheme="minorHAnsi" w:hAnsiTheme="minorHAnsi" w:cstheme="minorHAnsi"/>
          <w:sz w:val="22"/>
          <w:szCs w:val="22"/>
        </w:rPr>
        <w:t>94</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10</w:t>
      </w:r>
      <w:r w:rsidR="00E11377">
        <w:rPr>
          <w:rFonts w:asciiTheme="minorHAnsi" w:hAnsiTheme="minorHAnsi" w:cstheme="minorHAnsi"/>
          <w:sz w:val="22"/>
          <w:szCs w:val="22"/>
        </w:rPr>
        <w:t>0</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Para el mismo periodo, el precio del GLP cerró la semana en 3</w:t>
      </w:r>
      <w:r w:rsidR="00E11377">
        <w:rPr>
          <w:rFonts w:asciiTheme="minorHAnsi" w:hAnsiTheme="minorHAnsi" w:cstheme="minorHAnsi"/>
          <w:sz w:val="22"/>
          <w:szCs w:val="22"/>
        </w:rPr>
        <w:t>5</w:t>
      </w:r>
      <w:r>
        <w:rPr>
          <w:rFonts w:asciiTheme="minorHAnsi" w:hAnsiTheme="minorHAnsi" w:cstheme="minorHAnsi"/>
          <w:sz w:val="22"/>
          <w:szCs w:val="22"/>
        </w:rPr>
        <w:t>,</w:t>
      </w:r>
      <w:r w:rsidR="00E11377">
        <w:rPr>
          <w:rFonts w:asciiTheme="minorHAnsi" w:hAnsiTheme="minorHAnsi" w:cstheme="minorHAnsi"/>
          <w:sz w:val="22"/>
          <w:szCs w:val="22"/>
        </w:rPr>
        <w:t>8</w:t>
      </w:r>
      <w:r w:rsidR="00A43639">
        <w:rPr>
          <w:rFonts w:asciiTheme="minorHAnsi" w:hAnsiTheme="minorHAnsi" w:cstheme="minorHAnsi"/>
          <w:sz w:val="22"/>
          <w:szCs w:val="22"/>
        </w:rPr>
        <w:t>3</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73C1483D"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sidR="00A43639">
        <w:rPr>
          <w:rFonts w:asciiTheme="minorHAnsi" w:hAnsiTheme="minorHAnsi" w:cstheme="minorHAnsi"/>
          <w:sz w:val="22"/>
          <w:szCs w:val="22"/>
        </w:rPr>
        <w:t>1</w:t>
      </w:r>
      <w:r w:rsidR="00E11377">
        <w:rPr>
          <w:rFonts w:asciiTheme="minorHAnsi" w:hAnsiTheme="minorHAnsi" w:cstheme="minorHAnsi"/>
          <w:sz w:val="22"/>
          <w:szCs w:val="22"/>
        </w:rPr>
        <w:t>0</w:t>
      </w:r>
      <w:r w:rsidRPr="00431A8E">
        <w:rPr>
          <w:rFonts w:asciiTheme="minorHAnsi" w:hAnsiTheme="minorHAnsi" w:cstheme="minorHAnsi"/>
          <w:sz w:val="22"/>
          <w:szCs w:val="22"/>
        </w:rPr>
        <w:t>.</w:t>
      </w:r>
      <w:r>
        <w:rPr>
          <w:rFonts w:asciiTheme="minorHAnsi" w:hAnsiTheme="minorHAnsi" w:cstheme="minorHAnsi"/>
          <w:sz w:val="22"/>
          <w:szCs w:val="22"/>
        </w:rPr>
        <w:t>0</w:t>
      </w:r>
      <w:r w:rsidR="00E11377">
        <w:rPr>
          <w:rFonts w:asciiTheme="minorHAnsi" w:hAnsiTheme="minorHAnsi" w:cstheme="minorHAnsi"/>
          <w:sz w:val="22"/>
          <w:szCs w:val="22"/>
        </w:rPr>
        <w:t>4</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E11377">
        <w:rPr>
          <w:rFonts w:asciiTheme="minorHAnsi" w:hAnsiTheme="minorHAnsi" w:cstheme="minorHAnsi"/>
          <w:sz w:val="22"/>
          <w:szCs w:val="22"/>
        </w:rPr>
        <w:t>21</w:t>
      </w:r>
      <w:r w:rsidRPr="00431A8E">
        <w:rPr>
          <w:rFonts w:asciiTheme="minorHAnsi" w:hAnsiTheme="minorHAnsi" w:cstheme="minorHAnsi"/>
          <w:sz w:val="22"/>
          <w:szCs w:val="22"/>
        </w:rPr>
        <w:t>.0</w:t>
      </w:r>
      <w:r w:rsidR="00E0065F">
        <w:rPr>
          <w:rFonts w:asciiTheme="minorHAnsi" w:hAnsiTheme="minorHAnsi" w:cstheme="minorHAnsi"/>
          <w:sz w:val="22"/>
          <w:szCs w:val="22"/>
        </w:rPr>
        <w:t>4</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Default="00107E57" w:rsidP="006E0AC8">
      <w:pPr>
        <w:pStyle w:val="Prrafodelista"/>
        <w:ind w:left="426"/>
        <w:jc w:val="both"/>
        <w:rPr>
          <w:rFonts w:asciiTheme="minorHAnsi" w:hAnsiTheme="minorHAnsi" w:cstheme="minorHAnsi"/>
          <w:sz w:val="22"/>
          <w:szCs w:val="22"/>
        </w:rPr>
      </w:pPr>
    </w:p>
    <w:p w14:paraId="307E54B3" w14:textId="77777777" w:rsidR="00E11377" w:rsidRPr="00ED2C32" w:rsidRDefault="00E11377" w:rsidP="00E11377">
      <w:pPr>
        <w:pStyle w:val="Prrafodelista"/>
        <w:numPr>
          <w:ilvl w:val="0"/>
          <w:numId w:val="13"/>
        </w:numPr>
        <w:ind w:left="426"/>
        <w:contextualSpacing/>
        <w:jc w:val="both"/>
        <w:rPr>
          <w:rFonts w:asciiTheme="minorHAnsi" w:hAnsiTheme="minorHAnsi" w:cstheme="minorHAnsi"/>
          <w:b/>
          <w:sz w:val="22"/>
          <w:szCs w:val="22"/>
        </w:rPr>
      </w:pPr>
      <w:r w:rsidRPr="00ED2C32">
        <w:rPr>
          <w:rFonts w:asciiTheme="minorHAnsi" w:hAnsiTheme="minorHAnsi" w:cstheme="minorHAnsi"/>
          <w:b/>
          <w:sz w:val="22"/>
          <w:szCs w:val="22"/>
        </w:rPr>
        <w:t>La disminución de los inventarios de crudo, propano y destilados, así como el aumento de las existencias de gasolinas al 14 de abril del 2023.</w:t>
      </w:r>
    </w:p>
    <w:p w14:paraId="798426BF" w14:textId="77777777" w:rsidR="00E11377" w:rsidRPr="00ED2C32" w:rsidRDefault="00E11377" w:rsidP="00E11377">
      <w:pPr>
        <w:pStyle w:val="Prrafodelista"/>
        <w:ind w:left="426"/>
        <w:jc w:val="both"/>
        <w:rPr>
          <w:rFonts w:asciiTheme="minorHAnsi" w:hAnsiTheme="minorHAnsi" w:cstheme="minorHAnsi"/>
          <w:sz w:val="22"/>
          <w:szCs w:val="22"/>
        </w:rPr>
      </w:pPr>
    </w:p>
    <w:p w14:paraId="5DCF77C7"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Los inventarios de petróleo en Estados Unidos cayeron en 4,6 millones barriles, ubicándose en un +2% por encima de la media de los últimos 5 años, lo que representa 466,0 millones de barriles.</w:t>
      </w:r>
    </w:p>
    <w:p w14:paraId="7B32FA03" w14:textId="77777777" w:rsidR="00E11377" w:rsidRPr="00ED2C32" w:rsidRDefault="00E11377" w:rsidP="00E11377">
      <w:pPr>
        <w:pStyle w:val="Prrafodelista"/>
        <w:ind w:left="426"/>
        <w:jc w:val="both"/>
        <w:rPr>
          <w:rFonts w:asciiTheme="minorHAnsi" w:hAnsiTheme="minorHAnsi" w:cstheme="minorHAnsi"/>
          <w:sz w:val="22"/>
          <w:szCs w:val="22"/>
        </w:rPr>
      </w:pPr>
    </w:p>
    <w:p w14:paraId="6DAE346E"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Por su parte, las existencias de gasolina subieron 1,3 millones de barriles, reportando un total de 223,5 millones de barriles; mientras los inventarios de destilados, que incluyen al diésel y al combustible para calefacción, disminuyeron 0,3 millones de barriles, con un total de 112,1 millones de barriles. Finalmente, las existencias de propano se redujeron 0,72 millones de barriles, ubicándose en los 55,46 millones de barriles.</w:t>
      </w:r>
    </w:p>
    <w:p w14:paraId="4F1E5D2A" w14:textId="77777777" w:rsidR="00E11377" w:rsidRPr="00ED2C32" w:rsidRDefault="00E11377" w:rsidP="00E11377">
      <w:pPr>
        <w:pStyle w:val="Prrafodelista"/>
        <w:ind w:left="426"/>
        <w:jc w:val="both"/>
        <w:rPr>
          <w:rFonts w:asciiTheme="minorHAnsi" w:hAnsiTheme="minorHAnsi" w:cstheme="minorHAnsi"/>
          <w:sz w:val="22"/>
          <w:szCs w:val="22"/>
        </w:rPr>
      </w:pPr>
    </w:p>
    <w:p w14:paraId="5AE9022D" w14:textId="77777777" w:rsidR="00E11377" w:rsidRPr="00E11377" w:rsidRDefault="00E11377" w:rsidP="00E11377">
      <w:pPr>
        <w:pStyle w:val="Prrafodelista"/>
        <w:numPr>
          <w:ilvl w:val="0"/>
          <w:numId w:val="13"/>
        </w:numPr>
        <w:ind w:left="426"/>
        <w:contextualSpacing/>
        <w:jc w:val="both"/>
        <w:rPr>
          <w:rFonts w:asciiTheme="minorHAnsi" w:hAnsiTheme="minorHAnsi" w:cstheme="minorHAnsi"/>
          <w:b/>
          <w:sz w:val="22"/>
          <w:szCs w:val="22"/>
        </w:rPr>
      </w:pPr>
      <w:r w:rsidRPr="00E11377">
        <w:rPr>
          <w:rFonts w:asciiTheme="minorHAnsi" w:hAnsiTheme="minorHAnsi" w:cstheme="minorHAnsi"/>
          <w:b/>
          <w:sz w:val="22"/>
          <w:szCs w:val="22"/>
        </w:rPr>
        <w:t>La incertidumbre económica y la posibilidad de un nuevo incremento de las tasas de interés en Estados Unidos, que podrían desacelerar el crecimiento y frenar el consumo de combustibles, aspectos que prevalecieron con relación a los sólidos datos económicos chinos.</w:t>
      </w:r>
    </w:p>
    <w:p w14:paraId="38056418" w14:textId="77777777" w:rsidR="00E11377" w:rsidRPr="00ED2C32" w:rsidRDefault="00E11377" w:rsidP="00E11377">
      <w:pPr>
        <w:pStyle w:val="Prrafodelista"/>
        <w:ind w:left="360"/>
        <w:jc w:val="both"/>
        <w:rPr>
          <w:rFonts w:asciiTheme="minorHAnsi" w:hAnsiTheme="minorHAnsi" w:cstheme="minorHAnsi"/>
          <w:b/>
          <w:bCs/>
          <w:sz w:val="22"/>
          <w:szCs w:val="22"/>
        </w:rPr>
      </w:pPr>
    </w:p>
    <w:p w14:paraId="41DDCE33"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 xml:space="preserve">El presidente de la Reserva Federal de Atlanta, Raphael </w:t>
      </w:r>
      <w:proofErr w:type="spellStart"/>
      <w:r w:rsidRPr="00ED2C32">
        <w:rPr>
          <w:rFonts w:asciiTheme="minorHAnsi" w:hAnsiTheme="minorHAnsi" w:cstheme="minorHAnsi"/>
          <w:sz w:val="22"/>
          <w:szCs w:val="22"/>
        </w:rPr>
        <w:t>Bostic</w:t>
      </w:r>
      <w:proofErr w:type="spellEnd"/>
      <w:r w:rsidRPr="00ED2C32">
        <w:rPr>
          <w:rFonts w:asciiTheme="minorHAnsi" w:hAnsiTheme="minorHAnsi" w:cstheme="minorHAnsi"/>
          <w:sz w:val="22"/>
          <w:szCs w:val="22"/>
        </w:rPr>
        <w:t>, afirmó que es probable que la entidad suba las tasas una vez más para continuar el combate contra la inflación.</w:t>
      </w:r>
    </w:p>
    <w:p w14:paraId="753C606D"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br/>
        <w:t>En Europa, los responsables del Banco Central Europeo también desconfían de la inflación y han sugerido que las tasas deben seguir aumentando.</w:t>
      </w:r>
    </w:p>
    <w:p w14:paraId="284C3700" w14:textId="77777777" w:rsidR="00E11377" w:rsidRPr="00ED2C32" w:rsidRDefault="00E11377" w:rsidP="00E11377">
      <w:pPr>
        <w:pStyle w:val="Prrafodelista"/>
        <w:ind w:left="426"/>
        <w:jc w:val="both"/>
        <w:rPr>
          <w:rFonts w:asciiTheme="minorHAnsi" w:hAnsiTheme="minorHAnsi" w:cstheme="minorHAnsi"/>
          <w:sz w:val="22"/>
          <w:szCs w:val="22"/>
        </w:rPr>
      </w:pPr>
    </w:p>
    <w:p w14:paraId="0EE6C927"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El mercado espera que la Reserva Federal de Estados Unidos, el Banco de Inglaterra y el Banco Central Europeo suban las tasas de interés cuando se reúnan, en la primera semana de mayo, con el objetivo de hacer frente a una inflación persistentemente alta.</w:t>
      </w:r>
    </w:p>
    <w:p w14:paraId="46BFA1F4" w14:textId="77777777" w:rsidR="00E11377" w:rsidRPr="00ED2C32" w:rsidRDefault="00E11377" w:rsidP="00E11377">
      <w:pPr>
        <w:pStyle w:val="Prrafodelista"/>
        <w:ind w:left="357"/>
        <w:jc w:val="both"/>
        <w:rPr>
          <w:rFonts w:asciiTheme="minorHAnsi" w:hAnsiTheme="minorHAnsi" w:cstheme="minorHAnsi"/>
          <w:sz w:val="22"/>
          <w:szCs w:val="22"/>
        </w:rPr>
      </w:pPr>
    </w:p>
    <w:p w14:paraId="40B4DDBD" w14:textId="10104494" w:rsidR="00E11377" w:rsidRDefault="00E11377" w:rsidP="00E11377">
      <w:pPr>
        <w:pStyle w:val="Prrafodelista"/>
        <w:numPr>
          <w:ilvl w:val="0"/>
          <w:numId w:val="13"/>
        </w:numPr>
        <w:ind w:left="426"/>
        <w:contextualSpacing/>
        <w:jc w:val="both"/>
        <w:rPr>
          <w:rFonts w:asciiTheme="minorHAnsi" w:hAnsiTheme="minorHAnsi" w:cstheme="minorHAnsi"/>
          <w:b/>
          <w:sz w:val="22"/>
          <w:szCs w:val="22"/>
        </w:rPr>
      </w:pPr>
      <w:r w:rsidRPr="00E11377">
        <w:rPr>
          <w:rFonts w:asciiTheme="minorHAnsi" w:hAnsiTheme="minorHAnsi" w:cstheme="minorHAnsi"/>
          <w:b/>
          <w:sz w:val="22"/>
          <w:szCs w:val="22"/>
        </w:rPr>
        <w:t xml:space="preserve">La liberación de petróleo de la reserva de emergencia del Gobierno Estadounidense y los niveles más débiles de exportación. </w:t>
      </w:r>
    </w:p>
    <w:p w14:paraId="5B23A5F3" w14:textId="77777777" w:rsidR="00E11377" w:rsidRPr="00E11377" w:rsidRDefault="00E11377" w:rsidP="00E11377">
      <w:pPr>
        <w:pStyle w:val="Prrafodelista"/>
        <w:ind w:left="426"/>
        <w:contextualSpacing/>
        <w:jc w:val="both"/>
        <w:rPr>
          <w:rFonts w:asciiTheme="minorHAnsi" w:hAnsiTheme="minorHAnsi" w:cstheme="minorHAnsi"/>
          <w:b/>
          <w:sz w:val="22"/>
          <w:szCs w:val="22"/>
        </w:rPr>
      </w:pPr>
    </w:p>
    <w:p w14:paraId="75AB7C2A" w14:textId="01A2405C" w:rsidR="00E11377" w:rsidRDefault="00E11377" w:rsidP="00E11377">
      <w:pPr>
        <w:pStyle w:val="Prrafodelista"/>
        <w:ind w:left="426"/>
        <w:jc w:val="both"/>
        <w:rPr>
          <w:rFonts w:asciiTheme="minorHAnsi" w:hAnsiTheme="minorHAnsi" w:cstheme="minorHAnsi"/>
          <w:sz w:val="22"/>
          <w:szCs w:val="22"/>
        </w:rPr>
      </w:pPr>
      <w:r>
        <w:rPr>
          <w:rFonts w:asciiTheme="minorHAnsi" w:hAnsiTheme="minorHAnsi" w:cstheme="minorHAnsi"/>
          <w:sz w:val="22"/>
          <w:szCs w:val="22"/>
        </w:rPr>
        <w:t>L</w:t>
      </w:r>
      <w:r w:rsidRPr="00ED2C32">
        <w:rPr>
          <w:rFonts w:asciiTheme="minorHAnsi" w:hAnsiTheme="minorHAnsi" w:cstheme="minorHAnsi"/>
          <w:sz w:val="22"/>
          <w:szCs w:val="22"/>
        </w:rPr>
        <w:t>as existencias de crudo de la Reserva Estratégica de Petróleo (SPR) disminuyeron en 1,6 millones, la primera reducción del año 2023, como parte de una venta de 26 millones de barriles ordenada por el Congreso.</w:t>
      </w:r>
    </w:p>
    <w:p w14:paraId="488BBE2C" w14:textId="77777777" w:rsidR="00E11377" w:rsidRPr="00ED2C32" w:rsidRDefault="00E11377" w:rsidP="00E11377">
      <w:pPr>
        <w:pStyle w:val="Prrafodelista"/>
        <w:ind w:left="426"/>
        <w:jc w:val="both"/>
        <w:rPr>
          <w:rFonts w:asciiTheme="minorHAnsi" w:hAnsiTheme="minorHAnsi" w:cstheme="minorHAnsi"/>
          <w:sz w:val="22"/>
          <w:szCs w:val="22"/>
        </w:rPr>
      </w:pPr>
    </w:p>
    <w:p w14:paraId="4EC755A9" w14:textId="50DB0E5F" w:rsidR="00E11377" w:rsidRDefault="00E11377" w:rsidP="00E11377">
      <w:pPr>
        <w:pStyle w:val="Prrafodelista"/>
        <w:numPr>
          <w:ilvl w:val="0"/>
          <w:numId w:val="13"/>
        </w:numPr>
        <w:ind w:left="426"/>
        <w:contextualSpacing/>
        <w:jc w:val="both"/>
        <w:rPr>
          <w:rFonts w:asciiTheme="minorHAnsi" w:hAnsiTheme="minorHAnsi" w:cstheme="minorHAnsi"/>
          <w:b/>
          <w:sz w:val="22"/>
          <w:szCs w:val="22"/>
        </w:rPr>
      </w:pPr>
      <w:r w:rsidRPr="00E11377">
        <w:rPr>
          <w:rFonts w:asciiTheme="minorHAnsi" w:hAnsiTheme="minorHAnsi" w:cstheme="minorHAnsi"/>
          <w:b/>
          <w:sz w:val="22"/>
          <w:szCs w:val="22"/>
        </w:rPr>
        <w:t>Los datos alentadores de la economía de China, pese a las preocupaciones económicas globales.</w:t>
      </w:r>
    </w:p>
    <w:p w14:paraId="7EC33736" w14:textId="77777777" w:rsidR="00E11377" w:rsidRPr="00E11377" w:rsidRDefault="00E11377" w:rsidP="00E11377">
      <w:pPr>
        <w:pStyle w:val="Prrafodelista"/>
        <w:ind w:left="426"/>
        <w:contextualSpacing/>
        <w:jc w:val="both"/>
        <w:rPr>
          <w:rFonts w:asciiTheme="minorHAnsi" w:hAnsiTheme="minorHAnsi" w:cstheme="minorHAnsi"/>
          <w:b/>
          <w:sz w:val="22"/>
          <w:szCs w:val="22"/>
        </w:rPr>
      </w:pPr>
    </w:p>
    <w:p w14:paraId="502E1EB8" w14:textId="222A179E" w:rsidR="00E11377"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La economía china creció un + 4,5% en el primer trimestre del 2023 y el rendimiento de las refinerías de petróleo de China alcanzó niveles récord en marzo.</w:t>
      </w:r>
    </w:p>
    <w:p w14:paraId="43D8CBC2" w14:textId="77777777" w:rsidR="00E11377" w:rsidRPr="00ED2C32" w:rsidRDefault="00E11377" w:rsidP="00E11377">
      <w:pPr>
        <w:pStyle w:val="Prrafodelista"/>
        <w:ind w:left="426"/>
        <w:jc w:val="both"/>
        <w:rPr>
          <w:rFonts w:asciiTheme="minorHAnsi" w:hAnsiTheme="minorHAnsi" w:cstheme="minorHAnsi"/>
          <w:sz w:val="22"/>
          <w:szCs w:val="22"/>
        </w:rPr>
      </w:pPr>
    </w:p>
    <w:p w14:paraId="145D4905" w14:textId="6F0DB6A1" w:rsidR="00E11377"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Las refinerías asiáticas siguieron comprando crudo ruso en abril 2023, aumentando la presión sobre los índices referenciales.</w:t>
      </w:r>
    </w:p>
    <w:p w14:paraId="7C242091" w14:textId="77777777" w:rsidR="00E11377" w:rsidRPr="00ED2C32" w:rsidRDefault="00E11377" w:rsidP="00E11377">
      <w:pPr>
        <w:pStyle w:val="Prrafodelista"/>
        <w:ind w:left="426"/>
        <w:jc w:val="both"/>
        <w:rPr>
          <w:rFonts w:asciiTheme="minorHAnsi" w:hAnsiTheme="minorHAnsi" w:cstheme="minorHAnsi"/>
          <w:sz w:val="22"/>
          <w:szCs w:val="22"/>
        </w:rPr>
      </w:pPr>
    </w:p>
    <w:p w14:paraId="59C705EE" w14:textId="1102520A" w:rsidR="00E11377"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India y China han comprado la mayor parte del crudo ruso durante el mes de abril, a precios superiores al máximo fijado por Occidente de 60 dólares por barril, según operadores y cálculos de Reuters.</w:t>
      </w:r>
    </w:p>
    <w:p w14:paraId="21120ABF" w14:textId="77777777" w:rsidR="00E11377" w:rsidRPr="00ED2C32" w:rsidRDefault="00E11377" w:rsidP="00E11377">
      <w:pPr>
        <w:pStyle w:val="Prrafodelista"/>
        <w:ind w:left="426"/>
        <w:jc w:val="both"/>
        <w:rPr>
          <w:rFonts w:asciiTheme="minorHAnsi" w:hAnsiTheme="minorHAnsi" w:cstheme="minorHAnsi"/>
          <w:sz w:val="22"/>
          <w:szCs w:val="22"/>
        </w:rPr>
      </w:pPr>
    </w:p>
    <w:p w14:paraId="433B4F61" w14:textId="77777777" w:rsidR="00E11377" w:rsidRPr="00ED2C32" w:rsidRDefault="00E11377" w:rsidP="00E11377">
      <w:pPr>
        <w:pStyle w:val="Prrafodelista"/>
        <w:numPr>
          <w:ilvl w:val="0"/>
          <w:numId w:val="13"/>
        </w:numPr>
        <w:ind w:left="426"/>
        <w:contextualSpacing/>
        <w:jc w:val="both"/>
        <w:rPr>
          <w:rFonts w:asciiTheme="minorHAnsi" w:hAnsiTheme="minorHAnsi" w:cstheme="minorHAnsi"/>
          <w:b/>
          <w:bCs/>
          <w:sz w:val="22"/>
          <w:szCs w:val="22"/>
        </w:rPr>
      </w:pPr>
      <w:r w:rsidRPr="00ED2C32">
        <w:rPr>
          <w:rFonts w:asciiTheme="minorHAnsi" w:hAnsiTheme="minorHAnsi" w:cstheme="minorHAnsi"/>
          <w:b/>
          <w:bCs/>
          <w:sz w:val="22"/>
          <w:szCs w:val="22"/>
        </w:rPr>
        <w:t>Las proyecciones de la AIE que indican un aumento récord de la demanda y la mayor demanda de gasolinas ante la proximidad del verano boreal.</w:t>
      </w:r>
    </w:p>
    <w:p w14:paraId="556126DC" w14:textId="77777777" w:rsidR="00E11377" w:rsidRPr="00ED2C32" w:rsidRDefault="00E11377" w:rsidP="00E11377">
      <w:pPr>
        <w:jc w:val="both"/>
        <w:rPr>
          <w:rFonts w:asciiTheme="minorHAnsi" w:hAnsiTheme="minorHAnsi" w:cstheme="minorHAnsi"/>
          <w:b/>
          <w:bCs/>
          <w:sz w:val="22"/>
          <w:szCs w:val="22"/>
        </w:rPr>
      </w:pPr>
    </w:p>
    <w:p w14:paraId="0B1CB1F9"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La Agencia Internacional de la Energía (AIE) espera que la demanda mundial aumente hasta un récord en este año, gracias a la recuperación del consumo en China.</w:t>
      </w:r>
    </w:p>
    <w:p w14:paraId="66E44E15" w14:textId="77777777" w:rsidR="00E11377" w:rsidRPr="00ED2C32" w:rsidRDefault="00E11377" w:rsidP="00E11377">
      <w:pPr>
        <w:pStyle w:val="Prrafodelista"/>
        <w:ind w:left="426"/>
        <w:jc w:val="both"/>
        <w:rPr>
          <w:rFonts w:asciiTheme="minorHAnsi" w:hAnsiTheme="minorHAnsi" w:cstheme="minorHAnsi"/>
          <w:sz w:val="22"/>
          <w:szCs w:val="22"/>
        </w:rPr>
      </w:pPr>
    </w:p>
    <w:p w14:paraId="5F947769"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En su último informe mensual, la AIE señaló que la demanda mundial de petróleo crecerá en 2 millones de barriles diarios (bpd) en el año 2023, hasta alcanzar la cifra récord de 101,9 millones de bpd, impulsada especialmente por el mayor consumo chino, después del levantamiento de las restricciones por el COVID.</w:t>
      </w:r>
    </w:p>
    <w:p w14:paraId="5DB5D3AE" w14:textId="77777777" w:rsidR="00E11377" w:rsidRPr="00ED2C32" w:rsidRDefault="00E11377" w:rsidP="00E11377">
      <w:pPr>
        <w:pStyle w:val="Prrafodelista"/>
        <w:ind w:left="426"/>
        <w:jc w:val="both"/>
        <w:rPr>
          <w:rFonts w:asciiTheme="minorHAnsi" w:hAnsiTheme="minorHAnsi" w:cstheme="minorHAnsi"/>
          <w:sz w:val="22"/>
          <w:szCs w:val="22"/>
        </w:rPr>
      </w:pPr>
    </w:p>
    <w:p w14:paraId="2386A091" w14:textId="77777777"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El informe de la AIE señala también que la demanda china subirá 1,2 millones de barriles diarios hasta alcanzar 16,2 millones en el 2023. Según el documento, el mercado mundial del petróleo vivirá una situación tensa hasta finales del año 2023, tras el recorte de producción anunciado por la OPEP, que solo será compensado en parte por el aumento de la producción de países ajenos a esa organización, especialmente Estados Unidos y Brasil.</w:t>
      </w:r>
    </w:p>
    <w:p w14:paraId="7ECA92CB" w14:textId="77777777" w:rsidR="00E11377" w:rsidRPr="00ED2C32" w:rsidRDefault="00E11377" w:rsidP="00E11377">
      <w:pPr>
        <w:pStyle w:val="Prrafodelista"/>
        <w:ind w:left="426"/>
        <w:jc w:val="both"/>
        <w:rPr>
          <w:rFonts w:asciiTheme="minorHAnsi" w:hAnsiTheme="minorHAnsi" w:cstheme="minorHAnsi"/>
          <w:b/>
          <w:bCs/>
          <w:sz w:val="22"/>
          <w:szCs w:val="22"/>
        </w:rPr>
      </w:pPr>
    </w:p>
    <w:p w14:paraId="3C6E77D2" w14:textId="77777777" w:rsidR="00E11377" w:rsidRPr="00ED2C32" w:rsidRDefault="00E11377" w:rsidP="00E11377">
      <w:pPr>
        <w:pStyle w:val="Prrafodelista"/>
        <w:numPr>
          <w:ilvl w:val="0"/>
          <w:numId w:val="13"/>
        </w:numPr>
        <w:ind w:left="426"/>
        <w:contextualSpacing/>
        <w:jc w:val="both"/>
        <w:rPr>
          <w:rFonts w:asciiTheme="minorHAnsi" w:hAnsiTheme="minorHAnsi" w:cstheme="minorHAnsi"/>
          <w:b/>
          <w:bCs/>
          <w:sz w:val="22"/>
          <w:szCs w:val="22"/>
        </w:rPr>
      </w:pPr>
      <w:r w:rsidRPr="00ED2C32">
        <w:rPr>
          <w:rFonts w:asciiTheme="minorHAnsi" w:hAnsiTheme="minorHAnsi" w:cstheme="minorHAnsi"/>
          <w:b/>
          <w:bCs/>
          <w:sz w:val="22"/>
          <w:szCs w:val="22"/>
        </w:rPr>
        <w:t>La confirmación de parte de la OPEP de un recorte de 1,66 millones de barriles diarios a partir de mayo y hasta finales de 2023.</w:t>
      </w:r>
    </w:p>
    <w:p w14:paraId="54881C17" w14:textId="77777777" w:rsidR="00E11377"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br/>
        <w:t>Los últimos compromisos elevan el volumen total de recortes de la OPEP a 3,66 millones de bpd, incluido un recorte de 2 millones de barriles en octubre 2022, equivalente a alrededor del 3,7% de la demanda mundial.</w:t>
      </w:r>
    </w:p>
    <w:p w14:paraId="74F799B7" w14:textId="4E9F68E6" w:rsidR="00E11377" w:rsidRPr="00ED2C32"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 xml:space="preserve"> </w:t>
      </w:r>
    </w:p>
    <w:p w14:paraId="5201220F" w14:textId="59D0E6EF" w:rsidR="00107E57" w:rsidRPr="00523CA0" w:rsidRDefault="00E11377" w:rsidP="00E11377">
      <w:pPr>
        <w:pStyle w:val="Prrafodelista"/>
        <w:ind w:left="426"/>
        <w:jc w:val="both"/>
        <w:rPr>
          <w:rFonts w:asciiTheme="minorHAnsi" w:hAnsiTheme="minorHAnsi" w:cstheme="minorHAnsi"/>
          <w:sz w:val="22"/>
          <w:szCs w:val="22"/>
        </w:rPr>
      </w:pPr>
      <w:r w:rsidRPr="00ED2C32">
        <w:rPr>
          <w:rFonts w:asciiTheme="minorHAnsi" w:hAnsiTheme="minorHAnsi" w:cstheme="minorHAnsi"/>
          <w:sz w:val="22"/>
          <w:szCs w:val="22"/>
        </w:rPr>
        <w:t>Analistas del mercado sostienen que la OPEP se está adelantando a lo que esperan que sea una caída potencialmente pronunciada de la demanda de los consumidores en los próximos meses</w:t>
      </w:r>
      <w:r w:rsidR="00107E57" w:rsidRPr="00523CA0">
        <w:rPr>
          <w:rFonts w:asciiTheme="minorHAnsi" w:hAnsiTheme="minorHAnsi" w:cstheme="minorHAnsi"/>
          <w:sz w:val="22"/>
          <w:szCs w:val="22"/>
        </w:rPr>
        <w:t>.</w:t>
      </w: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680B402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26910E3E" w14:textId="4E8CEB44" w:rsidR="006A2158" w:rsidRDefault="006A2158" w:rsidP="006A215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14</w:t>
      </w:r>
      <w:r w:rsidRPr="004D4B7D">
        <w:rPr>
          <w:rFonts w:asciiTheme="minorHAnsi" w:hAnsiTheme="minorHAnsi" w:cstheme="minorHAnsi"/>
          <w:sz w:val="22"/>
          <w:szCs w:val="22"/>
        </w:rPr>
        <w:t>-2023-OS/GRT, se fijaron las Bandas de Precios y los Márgenes Comerciales para el Gas Licuado de Petróleo destinado a envasado (GLP-E</w:t>
      </w:r>
      <w:r w:rsidR="009F6EF0">
        <w:rPr>
          <w:rFonts w:asciiTheme="minorHAnsi" w:hAnsiTheme="minorHAnsi" w:cstheme="minorHAnsi"/>
          <w:sz w:val="22"/>
          <w:szCs w:val="22"/>
        </w:rPr>
        <w:t xml:space="preserve">) </w:t>
      </w:r>
      <w:r w:rsidRPr="004D4B7D">
        <w:rPr>
          <w:rFonts w:asciiTheme="minorHAnsi" w:hAnsiTheme="minorHAnsi" w:cstheme="minorHAnsi"/>
          <w:sz w:val="22"/>
          <w:szCs w:val="22"/>
        </w:rPr>
        <w:t xml:space="preserve">y Diésel B5 destinado al uso vehicular con vigencia desde el </w:t>
      </w:r>
      <w:r>
        <w:rPr>
          <w:rFonts w:asciiTheme="minorHAnsi" w:hAnsiTheme="minorHAnsi" w:cstheme="minorHAnsi"/>
          <w:sz w:val="22"/>
          <w:szCs w:val="22"/>
        </w:rPr>
        <w:t>31</w:t>
      </w:r>
      <w:r w:rsidRPr="004D4B7D">
        <w:rPr>
          <w:rFonts w:asciiTheme="minorHAnsi" w:hAnsiTheme="minorHAnsi" w:cstheme="minorHAnsi"/>
          <w:sz w:val="22"/>
          <w:szCs w:val="22"/>
        </w:rPr>
        <w:t xml:space="preserve"> de </w:t>
      </w:r>
      <w:r>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27</w:t>
      </w:r>
      <w:r w:rsidRPr="004D4B7D">
        <w:rPr>
          <w:rFonts w:asciiTheme="minorHAnsi" w:hAnsiTheme="minorHAnsi" w:cstheme="minorHAnsi"/>
          <w:sz w:val="22"/>
          <w:szCs w:val="22"/>
        </w:rPr>
        <w:t xml:space="preserve"> de </w:t>
      </w:r>
      <w:r>
        <w:rPr>
          <w:rFonts w:asciiTheme="minorHAnsi" w:hAnsiTheme="minorHAnsi" w:cstheme="minorHAnsi"/>
          <w:sz w:val="22"/>
          <w:szCs w:val="22"/>
        </w:rPr>
        <w:t>abril</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se fijó la Banda de Precios para el </w:t>
      </w:r>
      <w:r w:rsidRPr="004D4B7D">
        <w:rPr>
          <w:rFonts w:asciiTheme="minorHAnsi" w:hAnsiTheme="minorHAnsi" w:cstheme="minorHAnsi"/>
          <w:sz w:val="22"/>
          <w:szCs w:val="22"/>
        </w:rPr>
        <w:t>Gas Licuado de Petróleo destinado a granel (GLP-G)</w:t>
      </w:r>
      <w:r>
        <w:rPr>
          <w:rFonts w:asciiTheme="minorHAnsi" w:hAnsiTheme="minorHAnsi" w:cstheme="minorHAnsi"/>
          <w:sz w:val="22"/>
          <w:szCs w:val="22"/>
        </w:rPr>
        <w:t>, c</w:t>
      </w:r>
      <w:r w:rsidR="009F6EF0">
        <w:rPr>
          <w:rFonts w:asciiTheme="minorHAnsi" w:hAnsiTheme="minorHAnsi" w:cstheme="minorHAnsi"/>
          <w:sz w:val="22"/>
          <w:szCs w:val="22"/>
        </w:rPr>
        <w:t xml:space="preserve">uya </w:t>
      </w:r>
      <w:r>
        <w:rPr>
          <w:rFonts w:asciiTheme="minorHAnsi" w:hAnsiTheme="minorHAnsi" w:cstheme="minorHAnsi"/>
          <w:sz w:val="22"/>
          <w:szCs w:val="22"/>
        </w:rPr>
        <w:t xml:space="preserve">vigencia </w:t>
      </w:r>
      <w:r w:rsidR="009F6EF0">
        <w:rPr>
          <w:rFonts w:asciiTheme="minorHAnsi" w:hAnsiTheme="minorHAnsi" w:cstheme="minorHAnsi"/>
          <w:sz w:val="22"/>
          <w:szCs w:val="22"/>
        </w:rPr>
        <w:t>solo fue para el 31 de marzo</w:t>
      </w:r>
      <w:r>
        <w:rPr>
          <w:rFonts w:asciiTheme="minorHAnsi" w:hAnsiTheme="minorHAnsi" w:cstheme="minorHAnsi"/>
          <w:sz w:val="22"/>
          <w:szCs w:val="22"/>
        </w:rPr>
        <w:t xml:space="preserve"> de 2023.</w:t>
      </w:r>
    </w:p>
    <w:p w14:paraId="29D68AA1" w14:textId="77777777" w:rsidR="006A2158" w:rsidRDefault="006A2158" w:rsidP="004D4B7D">
      <w:pPr>
        <w:pStyle w:val="Textonotapie"/>
        <w:tabs>
          <w:tab w:val="left" w:pos="709"/>
        </w:tabs>
        <w:spacing w:before="0" w:after="0"/>
        <w:ind w:left="568"/>
        <w:rPr>
          <w:rFonts w:asciiTheme="minorHAnsi" w:hAnsiTheme="minorHAnsi" w:cstheme="minorHAnsi"/>
          <w:sz w:val="22"/>
          <w:szCs w:val="22"/>
        </w:rPr>
      </w:pPr>
    </w:p>
    <w:p w14:paraId="5AAD8AFE" w14:textId="7E267889"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9F6EF0">
        <w:rPr>
          <w:rFonts w:asciiTheme="minorHAnsi" w:hAnsiTheme="minorHAnsi" w:cstheme="minorHAnsi"/>
          <w:sz w:val="22"/>
          <w:szCs w:val="22"/>
        </w:rPr>
        <w:t xml:space="preserve"> y </w:t>
      </w:r>
      <w:r w:rsidR="009F6EF0" w:rsidRPr="00300844">
        <w:rPr>
          <w:rFonts w:asciiTheme="minorHAnsi" w:hAnsiTheme="minorHAnsi" w:cstheme="minorHAnsi"/>
          <w:sz w:val="22"/>
          <w:szCs w:val="22"/>
        </w:rPr>
        <w:t>0</w:t>
      </w:r>
      <w:r w:rsidR="009F6EF0">
        <w:rPr>
          <w:rFonts w:asciiTheme="minorHAnsi" w:hAnsiTheme="minorHAnsi" w:cstheme="minorHAnsi"/>
          <w:sz w:val="22"/>
          <w:szCs w:val="22"/>
        </w:rPr>
        <w:t>05</w:t>
      </w:r>
      <w:r w:rsidR="009F6EF0" w:rsidRPr="00300844">
        <w:rPr>
          <w:rFonts w:asciiTheme="minorHAnsi" w:hAnsiTheme="minorHAnsi" w:cstheme="minorHAnsi"/>
          <w:sz w:val="22"/>
          <w:szCs w:val="22"/>
        </w:rPr>
        <w:t>-202</w:t>
      </w:r>
      <w:r w:rsidR="009F6EF0">
        <w:rPr>
          <w:rFonts w:asciiTheme="minorHAnsi" w:hAnsiTheme="minorHAnsi" w:cstheme="minorHAnsi"/>
          <w:sz w:val="22"/>
          <w:szCs w:val="22"/>
        </w:rPr>
        <w:t>3</w:t>
      </w:r>
      <w:r w:rsidR="009F6EF0"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9A4663">
        <w:rPr>
          <w:rFonts w:asciiTheme="minorHAnsi" w:hAnsiTheme="minorHAnsi" w:cstheme="minorHAnsi"/>
          <w:sz w:val="22"/>
          <w:szCs w:val="22"/>
        </w:rPr>
        <w:t>1</w:t>
      </w:r>
      <w:r w:rsidR="00E11377">
        <w:rPr>
          <w:rFonts w:asciiTheme="minorHAnsi" w:hAnsiTheme="minorHAnsi" w:cstheme="minorHAnsi"/>
          <w:sz w:val="22"/>
          <w:szCs w:val="22"/>
        </w:rPr>
        <w:t>8</w:t>
      </w:r>
      <w:r w:rsidR="00E0065F">
        <w:rPr>
          <w:rFonts w:asciiTheme="minorHAnsi" w:hAnsiTheme="minorHAnsi" w:cstheme="minorHAnsi"/>
          <w:sz w:val="22"/>
          <w:szCs w:val="22"/>
        </w:rPr>
        <w:t xml:space="preserve"> d</w:t>
      </w:r>
      <w:r w:rsidR="009F6EF0">
        <w:rPr>
          <w:rFonts w:asciiTheme="minorHAnsi" w:hAnsiTheme="minorHAnsi" w:cstheme="minorHAnsi"/>
          <w:sz w:val="22"/>
          <w:szCs w:val="22"/>
        </w:rPr>
        <w:t xml:space="preserve">e </w:t>
      </w:r>
      <w:r w:rsidR="00E0065F">
        <w:rPr>
          <w:rFonts w:asciiTheme="minorHAnsi" w:hAnsiTheme="minorHAnsi" w:cstheme="minorHAnsi"/>
          <w:sz w:val="22"/>
          <w:szCs w:val="22"/>
        </w:rPr>
        <w:t>abril</w:t>
      </w:r>
      <w:r w:rsidRPr="00294829">
        <w:rPr>
          <w:rFonts w:asciiTheme="minorHAnsi" w:hAnsiTheme="minorHAnsi" w:cstheme="minorHAnsi"/>
          <w:sz w:val="22"/>
          <w:szCs w:val="22"/>
        </w:rPr>
        <w:t xml:space="preserve"> al lunes </w:t>
      </w:r>
      <w:r w:rsidR="00E11377">
        <w:rPr>
          <w:rFonts w:asciiTheme="minorHAnsi" w:hAnsiTheme="minorHAnsi" w:cstheme="minorHAnsi"/>
          <w:sz w:val="22"/>
          <w:szCs w:val="22"/>
        </w:rPr>
        <w:t>24</w:t>
      </w:r>
      <w:r w:rsidRPr="00294829">
        <w:rPr>
          <w:rFonts w:asciiTheme="minorHAnsi" w:hAnsiTheme="minorHAnsi" w:cstheme="minorHAnsi"/>
          <w:sz w:val="22"/>
          <w:szCs w:val="22"/>
        </w:rPr>
        <w:t xml:space="preserve"> de </w:t>
      </w:r>
      <w:r w:rsidR="009F6EF0">
        <w:rPr>
          <w:rFonts w:asciiTheme="minorHAnsi" w:hAnsiTheme="minorHAnsi" w:cstheme="minorHAnsi"/>
          <w:sz w:val="22"/>
          <w:szCs w:val="22"/>
        </w:rPr>
        <w:t>abril</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0C92C6F4" w:rsidR="009D32AB" w:rsidRPr="001B07FE" w:rsidRDefault="00E812D9" w:rsidP="00FC618C">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E11377">
        <w:rPr>
          <w:rFonts w:asciiTheme="minorHAnsi" w:hAnsiTheme="minorHAnsi" w:cstheme="minorHAnsi"/>
          <w:sz w:val="22"/>
          <w:szCs w:val="22"/>
        </w:rPr>
        <w:t>2</w:t>
      </w:r>
      <w:r w:rsidR="009A4663">
        <w:rPr>
          <w:rFonts w:asciiTheme="minorHAnsi" w:hAnsiTheme="minorHAnsi" w:cstheme="minorHAnsi"/>
          <w:sz w:val="22"/>
          <w:szCs w:val="22"/>
        </w:rPr>
        <w:t>1</w:t>
      </w:r>
      <w:r w:rsidRPr="001B07FE">
        <w:rPr>
          <w:rFonts w:asciiTheme="minorHAnsi" w:hAnsiTheme="minorHAnsi" w:cstheme="minorHAnsi"/>
          <w:sz w:val="22"/>
          <w:szCs w:val="22"/>
        </w:rPr>
        <w:t>.0</w:t>
      </w:r>
      <w:r w:rsidR="00E0065F">
        <w:rPr>
          <w:rFonts w:asciiTheme="minorHAnsi" w:hAnsiTheme="minorHAnsi" w:cstheme="minorHAnsi"/>
          <w:sz w:val="22"/>
          <w:szCs w:val="22"/>
        </w:rPr>
        <w:t>4</w:t>
      </w:r>
      <w:r w:rsidRPr="001B07FE">
        <w:rPr>
          <w:rFonts w:asciiTheme="minorHAnsi" w:hAnsiTheme="minorHAnsi" w:cstheme="minorHAnsi"/>
          <w:sz w:val="22"/>
          <w:szCs w:val="22"/>
        </w:rPr>
        <w:t xml:space="preserve">.2023, PETROPERÚ </w:t>
      </w:r>
      <w:r w:rsidR="009A4663" w:rsidRPr="00232A32">
        <w:rPr>
          <w:rFonts w:asciiTheme="minorHAnsi" w:hAnsiTheme="minorHAnsi" w:cstheme="minorHAnsi"/>
          <w:sz w:val="22"/>
          <w:szCs w:val="22"/>
        </w:rPr>
        <w:t xml:space="preserve">publicó su lista de precios de venta de combustibles. Se registraron </w:t>
      </w:r>
      <w:r w:rsidR="009A4663">
        <w:rPr>
          <w:rFonts w:asciiTheme="minorHAnsi" w:hAnsiTheme="minorHAnsi" w:cstheme="minorHAnsi"/>
          <w:sz w:val="22"/>
          <w:szCs w:val="22"/>
        </w:rPr>
        <w:t>variaciones en el precio de las Gasolina Premium (+0</w:t>
      </w:r>
      <w:r w:rsidR="00E11377">
        <w:rPr>
          <w:rFonts w:asciiTheme="minorHAnsi" w:hAnsiTheme="minorHAnsi" w:cstheme="minorHAnsi"/>
          <w:sz w:val="22"/>
          <w:szCs w:val="22"/>
        </w:rPr>
        <w:t>,66</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Gasolina Regular (+0</w:t>
      </w:r>
      <w:r w:rsidR="00E11377">
        <w:rPr>
          <w:rFonts w:asciiTheme="minorHAnsi" w:hAnsiTheme="minorHAnsi" w:cstheme="minorHAnsi"/>
          <w:sz w:val="22"/>
          <w:szCs w:val="22"/>
        </w:rPr>
        <w:t>,55</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Gasolina de 84 octanos (+0.</w:t>
      </w:r>
      <w:r w:rsidR="00E11377">
        <w:rPr>
          <w:rFonts w:asciiTheme="minorHAnsi" w:hAnsiTheme="minorHAnsi" w:cstheme="minorHAnsi"/>
          <w:sz w:val="22"/>
          <w:szCs w:val="22"/>
        </w:rPr>
        <w:t>50</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así como el Gasohol Premium (+0</w:t>
      </w:r>
      <w:r w:rsidR="00E11377">
        <w:rPr>
          <w:rFonts w:asciiTheme="minorHAnsi" w:hAnsiTheme="minorHAnsi" w:cstheme="minorHAnsi"/>
          <w:sz w:val="22"/>
          <w:szCs w:val="22"/>
        </w:rPr>
        <w:t>,63</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Gasohol Regular (+0</w:t>
      </w:r>
      <w:r w:rsidR="00E11377">
        <w:rPr>
          <w:rFonts w:asciiTheme="minorHAnsi" w:hAnsiTheme="minorHAnsi" w:cstheme="minorHAnsi"/>
          <w:sz w:val="22"/>
          <w:szCs w:val="22"/>
        </w:rPr>
        <w:t>,53</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Gasohol de 84 octanos (+0</w:t>
      </w:r>
      <w:r w:rsidR="00E11377">
        <w:rPr>
          <w:rFonts w:asciiTheme="minorHAnsi" w:hAnsiTheme="minorHAnsi" w:cstheme="minorHAnsi"/>
          <w:sz w:val="22"/>
          <w:szCs w:val="22"/>
        </w:rPr>
        <w:t>,49</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Asimismo, también se registraron diferencias en los precios del Diesel B5 (+0</w:t>
      </w:r>
      <w:r w:rsidR="00E11377">
        <w:rPr>
          <w:rFonts w:asciiTheme="minorHAnsi" w:hAnsiTheme="minorHAnsi" w:cstheme="minorHAnsi"/>
          <w:sz w:val="22"/>
          <w:szCs w:val="22"/>
        </w:rPr>
        <w:t>,</w:t>
      </w:r>
      <w:r w:rsidR="009A4663">
        <w:rPr>
          <w:rFonts w:asciiTheme="minorHAnsi" w:hAnsiTheme="minorHAnsi" w:cstheme="minorHAnsi"/>
          <w:sz w:val="22"/>
          <w:szCs w:val="22"/>
        </w:rPr>
        <w:t>07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los residuales R6 (+0</w:t>
      </w:r>
      <w:r w:rsidR="00E11377">
        <w:rPr>
          <w:rFonts w:asciiTheme="minorHAnsi" w:hAnsiTheme="minorHAnsi" w:cstheme="minorHAnsi"/>
          <w:sz w:val="22"/>
          <w:szCs w:val="22"/>
        </w:rPr>
        <w:t>,82</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R500 (+0</w:t>
      </w:r>
      <w:r w:rsidR="00E11377">
        <w:rPr>
          <w:rFonts w:asciiTheme="minorHAnsi" w:hAnsiTheme="minorHAnsi" w:cstheme="minorHAnsi"/>
          <w:sz w:val="22"/>
          <w:szCs w:val="22"/>
        </w:rPr>
        <w:t>,84</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w:t>
      </w:r>
    </w:p>
    <w:p w14:paraId="0F52D45B" w14:textId="214F9991"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lastRenderedPageBreak/>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5DE66853"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428B8CA9"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E11377">
        <w:rPr>
          <w:rFonts w:asciiTheme="minorHAnsi" w:hAnsiTheme="minorHAnsi" w:cstheme="minorHAnsi"/>
          <w:sz w:val="22"/>
          <w:szCs w:val="22"/>
        </w:rPr>
        <w:t>10</w:t>
      </w:r>
      <w:r>
        <w:rPr>
          <w:rFonts w:asciiTheme="minorHAnsi" w:hAnsiTheme="minorHAnsi" w:cstheme="minorHAnsi"/>
          <w:sz w:val="22"/>
          <w:szCs w:val="22"/>
        </w:rPr>
        <w:t>/0</w:t>
      </w:r>
      <w:r w:rsidR="00E11377">
        <w:rPr>
          <w:rFonts w:asciiTheme="minorHAnsi" w:hAnsiTheme="minorHAnsi" w:cstheme="minorHAnsi"/>
          <w:sz w:val="22"/>
          <w:szCs w:val="22"/>
        </w:rPr>
        <w:t>4</w:t>
      </w:r>
      <w:r>
        <w:rPr>
          <w:rFonts w:asciiTheme="minorHAnsi" w:hAnsiTheme="minorHAnsi" w:cstheme="minorHAnsi"/>
          <w:sz w:val="22"/>
          <w:szCs w:val="22"/>
        </w:rPr>
        <w:t xml:space="preserve">/2023 y el </w:t>
      </w:r>
      <w:r w:rsidR="00E11377">
        <w:rPr>
          <w:rFonts w:asciiTheme="minorHAnsi" w:hAnsiTheme="minorHAnsi" w:cstheme="minorHAnsi"/>
          <w:sz w:val="22"/>
          <w:szCs w:val="22"/>
        </w:rPr>
        <w:t>2</w:t>
      </w:r>
      <w:r w:rsidR="009A4663">
        <w:rPr>
          <w:rFonts w:asciiTheme="minorHAnsi" w:hAnsiTheme="minorHAnsi" w:cstheme="minorHAnsi"/>
          <w:sz w:val="22"/>
          <w:szCs w:val="22"/>
        </w:rPr>
        <w:t>1</w:t>
      </w:r>
      <w:r>
        <w:rPr>
          <w:rFonts w:asciiTheme="minorHAnsi" w:hAnsiTheme="minorHAnsi" w:cstheme="minorHAnsi"/>
          <w:sz w:val="22"/>
          <w:szCs w:val="22"/>
        </w:rPr>
        <w:t>/0</w:t>
      </w:r>
      <w:r w:rsidR="00AC2744">
        <w:rPr>
          <w:rFonts w:asciiTheme="minorHAnsi" w:hAnsiTheme="minorHAnsi" w:cstheme="minorHAnsi"/>
          <w:sz w:val="22"/>
          <w:szCs w:val="22"/>
        </w:rPr>
        <w:t>4</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7EA01598" w14:textId="5E695F21" w:rsidR="00E11377" w:rsidRDefault="00E11377" w:rsidP="00AF3F44">
      <w:pPr>
        <w:jc w:val="both"/>
        <w:rPr>
          <w:rFonts w:asciiTheme="minorHAnsi" w:hAnsiTheme="minorHAnsi" w:cstheme="minorHAnsi"/>
          <w:sz w:val="22"/>
          <w:szCs w:val="22"/>
        </w:rPr>
      </w:pPr>
    </w:p>
    <w:p w14:paraId="5BC0A457" w14:textId="01F2395F" w:rsidR="00A86191" w:rsidRDefault="00A86191" w:rsidP="00A86191">
      <w:pPr>
        <w:jc w:val="both"/>
        <w:rPr>
          <w:rFonts w:asciiTheme="minorHAnsi" w:hAnsiTheme="minorHAnsi" w:cstheme="minorHAnsi"/>
          <w:sz w:val="22"/>
          <w:szCs w:val="22"/>
        </w:rPr>
      </w:pPr>
    </w:p>
    <w:p w14:paraId="070875A5" w14:textId="77777777" w:rsidR="00713C2F" w:rsidRDefault="00713C2F" w:rsidP="00A86191">
      <w:pPr>
        <w:rPr>
          <w:rFonts w:ascii="Calibri" w:hAnsi="Calibri" w:cs="Arial"/>
          <w:b/>
          <w:bCs/>
          <w:i/>
          <w:sz w:val="22"/>
          <w:szCs w:val="22"/>
          <w:lang w:eastAsia="es-PE"/>
        </w:rPr>
      </w:pPr>
    </w:p>
    <w:p w14:paraId="179751A3" w14:textId="77777777" w:rsidR="00713C2F" w:rsidRDefault="00713C2F" w:rsidP="00A86191">
      <w:pPr>
        <w:rPr>
          <w:rFonts w:ascii="Calibri" w:hAnsi="Calibri" w:cs="Arial"/>
          <w:b/>
          <w:bCs/>
          <w:i/>
          <w:sz w:val="22"/>
          <w:szCs w:val="22"/>
          <w:lang w:eastAsia="es-PE"/>
        </w:rPr>
      </w:pPr>
    </w:p>
    <w:p w14:paraId="086D8755" w14:textId="6A960053"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lastRenderedPageBreak/>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11377">
        <w:rPr>
          <w:rFonts w:ascii="Calibri" w:hAnsi="Calibri" w:cs="Arial"/>
          <w:b/>
          <w:bCs/>
          <w:i/>
          <w:sz w:val="22"/>
          <w:szCs w:val="22"/>
          <w:lang w:eastAsia="es-PE"/>
        </w:rPr>
        <w:t>24</w:t>
      </w:r>
      <w:r>
        <w:rPr>
          <w:rFonts w:ascii="Calibri" w:hAnsi="Calibri" w:cs="Arial"/>
          <w:b/>
          <w:bCs/>
          <w:i/>
          <w:sz w:val="22"/>
          <w:szCs w:val="22"/>
          <w:lang w:eastAsia="es-PE"/>
        </w:rPr>
        <w:t>-0</w:t>
      </w:r>
      <w:r w:rsidR="00AC2744">
        <w:rPr>
          <w:rFonts w:ascii="Calibri" w:hAnsi="Calibri" w:cs="Arial"/>
          <w:b/>
          <w:bCs/>
          <w:i/>
          <w:sz w:val="22"/>
          <w:szCs w:val="22"/>
          <w:lang w:eastAsia="es-PE"/>
        </w:rPr>
        <w:t>4</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81506FD" w:rsidR="00A86191" w:rsidRPr="00CC2A8A" w:rsidRDefault="00713C2F" w:rsidP="00A86191">
      <w:pPr>
        <w:pBdr>
          <w:top w:val="single" w:sz="4" w:space="1" w:color="auto"/>
          <w:bottom w:val="single" w:sz="4" w:space="1" w:color="auto"/>
        </w:pBdr>
        <w:rPr>
          <w:rFonts w:ascii="Calibri" w:hAnsi="Calibri" w:cs="Arial"/>
          <w:bCs/>
          <w:sz w:val="32"/>
          <w:szCs w:val="32"/>
        </w:rPr>
      </w:pPr>
      <w:r w:rsidRPr="000A697F">
        <w:rPr>
          <w:noProof/>
        </w:rPr>
        <w:drawing>
          <wp:inline distT="0" distB="0" distL="0" distR="0" wp14:anchorId="69B9E310" wp14:editId="253D6C9D">
            <wp:extent cx="5343277" cy="2844351"/>
            <wp:effectExtent l="0" t="0" r="0" b="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2"/>
                    <a:stretch>
                      <a:fillRect/>
                    </a:stretch>
                  </pic:blipFill>
                  <pic:spPr>
                    <a:xfrm>
                      <a:off x="0" y="0"/>
                      <a:ext cx="5361634" cy="2854123"/>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6ABFD07C"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713C2F">
        <w:rPr>
          <w:rFonts w:asciiTheme="minorHAnsi" w:hAnsiTheme="minorHAnsi" w:cstheme="minorHAnsi"/>
          <w:sz w:val="22"/>
          <w:szCs w:val="22"/>
        </w:rPr>
        <w:t>6</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xml:space="preserve">, </w:t>
      </w:r>
      <w:r w:rsidR="00713C2F">
        <w:rPr>
          <w:rFonts w:asciiTheme="minorHAnsi" w:hAnsiTheme="minorHAnsi" w:cstheme="minorHAnsi"/>
          <w:sz w:val="22"/>
          <w:szCs w:val="22"/>
        </w:rPr>
        <w:t>8</w:t>
      </w:r>
      <w:r>
        <w:rPr>
          <w:rFonts w:asciiTheme="minorHAnsi" w:hAnsiTheme="minorHAnsi" w:cstheme="minorHAnsi"/>
          <w:sz w:val="22"/>
          <w:szCs w:val="22"/>
        </w:rPr>
        <w:t>9% y 8</w:t>
      </w:r>
      <w:r w:rsidR="00713C2F">
        <w:rPr>
          <w:rFonts w:asciiTheme="minorHAnsi" w:hAnsiTheme="minorHAnsi" w:cstheme="minorHAnsi"/>
          <w:sz w:val="22"/>
          <w:szCs w:val="22"/>
        </w:rPr>
        <w:t>7</w:t>
      </w:r>
      <w:r>
        <w:rPr>
          <w:rFonts w:asciiTheme="minorHAnsi" w:hAnsiTheme="minorHAnsi" w:cstheme="minorHAnsi"/>
          <w:sz w:val="22"/>
          <w:szCs w:val="22"/>
        </w:rPr>
        <w:t xml:space="preserve">% del precio de referencia de los biocombustibles, </w:t>
      </w:r>
      <w:r w:rsidR="00AC2744">
        <w:rPr>
          <w:rFonts w:asciiTheme="minorHAnsi" w:hAnsiTheme="minorHAnsi" w:cstheme="minorHAnsi"/>
          <w:sz w:val="22"/>
          <w:szCs w:val="22"/>
        </w:rPr>
        <w:t>8</w:t>
      </w:r>
      <w:r w:rsidR="00713C2F">
        <w:rPr>
          <w:rFonts w:asciiTheme="minorHAnsi" w:hAnsiTheme="minorHAnsi" w:cstheme="minorHAnsi"/>
          <w:sz w:val="22"/>
          <w:szCs w:val="22"/>
        </w:rPr>
        <w:t>1</w:t>
      </w:r>
      <w:r>
        <w:rPr>
          <w:rFonts w:asciiTheme="minorHAnsi" w:hAnsiTheme="minorHAnsi" w:cstheme="minorHAnsi"/>
          <w:sz w:val="22"/>
          <w:szCs w:val="22"/>
        </w:rPr>
        <w:t xml:space="preserve">%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AC2744">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40AFF2C1"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713C2F">
        <w:rPr>
          <w:rFonts w:asciiTheme="minorHAnsi" w:hAnsiTheme="minorHAnsi" w:cstheme="minorHAnsi"/>
          <w:sz w:val="22"/>
          <w:szCs w:val="22"/>
        </w:rPr>
        <w:t>2</w:t>
      </w:r>
      <w:r w:rsidR="00AC2744">
        <w:rPr>
          <w:rFonts w:asciiTheme="minorHAnsi" w:hAnsiTheme="minorHAnsi" w:cstheme="minorHAnsi"/>
          <w:sz w:val="22"/>
          <w:szCs w:val="22"/>
        </w:rPr>
        <w:t>1</w:t>
      </w:r>
      <w:r>
        <w:rPr>
          <w:rFonts w:asciiTheme="minorHAnsi" w:hAnsiTheme="minorHAnsi" w:cstheme="minorHAnsi"/>
          <w:sz w:val="22"/>
          <w:szCs w:val="22"/>
        </w:rPr>
        <w:t xml:space="preserve"> de </w:t>
      </w:r>
      <w:r w:rsidR="00AC2744">
        <w:rPr>
          <w:rFonts w:asciiTheme="minorHAnsi" w:hAnsiTheme="minorHAnsi" w:cstheme="minorHAnsi"/>
          <w:sz w:val="22"/>
          <w:szCs w:val="22"/>
        </w:rPr>
        <w:t>abril</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448FB3AC"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65BD4337"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F6EF0">
        <w:rPr>
          <w:rFonts w:asciiTheme="minorHAnsi" w:hAnsiTheme="minorHAnsi" w:cstheme="minorHAnsi"/>
          <w:sz w:val="22"/>
          <w:szCs w:val="22"/>
        </w:rPr>
        <w:t>5</w:t>
      </w:r>
      <w:r w:rsidR="001F2602">
        <w:rPr>
          <w:rFonts w:asciiTheme="minorHAnsi" w:hAnsiTheme="minorHAnsi" w:cstheme="minorHAnsi"/>
          <w:sz w:val="22"/>
          <w:szCs w:val="22"/>
        </w:rPr>
        <w:t>,</w:t>
      </w:r>
      <w:r w:rsidR="00713C2F">
        <w:rPr>
          <w:rFonts w:asciiTheme="minorHAnsi" w:hAnsiTheme="minorHAnsi" w:cstheme="minorHAnsi"/>
          <w:sz w:val="22"/>
          <w:szCs w:val="22"/>
        </w:rPr>
        <w:t>15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01865935"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F6EF0">
        <w:rPr>
          <w:rFonts w:asciiTheme="minorHAnsi" w:hAnsiTheme="minorHAnsi" w:cstheme="minorHAnsi"/>
          <w:sz w:val="22"/>
          <w:szCs w:val="22"/>
          <w:lang w:val="en-US"/>
        </w:rPr>
        <w:t>5</w:t>
      </w:r>
      <w:r>
        <w:rPr>
          <w:rFonts w:asciiTheme="minorHAnsi" w:hAnsiTheme="minorHAnsi" w:cstheme="minorHAnsi"/>
          <w:sz w:val="22"/>
          <w:szCs w:val="22"/>
          <w:lang w:val="en-US"/>
        </w:rPr>
        <w:t>,</w:t>
      </w:r>
      <w:r w:rsidR="00713C2F">
        <w:rPr>
          <w:rFonts w:asciiTheme="minorHAnsi" w:hAnsiTheme="minorHAnsi" w:cstheme="minorHAnsi"/>
          <w:sz w:val="22"/>
          <w:szCs w:val="22"/>
          <w:lang w:val="en-US"/>
        </w:rPr>
        <w:t>1</w:t>
      </w:r>
      <w:r w:rsidR="009F6EF0">
        <w:rPr>
          <w:rFonts w:asciiTheme="minorHAnsi" w:hAnsiTheme="minorHAnsi" w:cstheme="minorHAnsi"/>
          <w:sz w:val="22"/>
          <w:szCs w:val="22"/>
          <w:lang w:val="en-US"/>
        </w:rPr>
        <w:t>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AC2744">
        <w:rPr>
          <w:rFonts w:asciiTheme="minorHAnsi" w:hAnsiTheme="minorHAnsi" w:cstheme="minorHAnsi"/>
          <w:sz w:val="22"/>
          <w:szCs w:val="22"/>
          <w:lang w:val="en-US"/>
        </w:rPr>
        <w:t>6</w:t>
      </w:r>
      <w:r w:rsidR="00713C2F">
        <w:rPr>
          <w:rFonts w:asciiTheme="minorHAnsi" w:hAnsiTheme="minorHAnsi" w:cstheme="minorHAnsi"/>
          <w:sz w:val="22"/>
          <w:szCs w:val="22"/>
          <w:lang w:val="en-US"/>
        </w:rPr>
        <w:t>8</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0A6EB86E"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713C2F">
        <w:rPr>
          <w:rFonts w:asciiTheme="minorHAnsi" w:hAnsiTheme="minorHAnsi" w:cstheme="minorHAnsi"/>
          <w:sz w:val="22"/>
          <w:szCs w:val="22"/>
          <w:lang w:val="en-US"/>
        </w:rPr>
        <w:t>55</w:t>
      </w:r>
      <w:r w:rsidRPr="006E3A77">
        <w:rPr>
          <w:rFonts w:asciiTheme="minorHAnsi" w:hAnsiTheme="minorHAnsi" w:cstheme="minorHAnsi"/>
          <w:sz w:val="22"/>
          <w:szCs w:val="22"/>
          <w:lang w:val="en-US"/>
        </w:rPr>
        <w:t xml:space="preserve"> US$/Bl</w:t>
      </w: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3DECE515"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713C2F">
        <w:rPr>
          <w:rFonts w:asciiTheme="minorHAnsi" w:hAnsiTheme="minorHAnsi" w:cstheme="minorHAnsi"/>
          <w:sz w:val="22"/>
          <w:szCs w:val="22"/>
        </w:rPr>
        <w:t>96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123C2223"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EE790A">
        <w:rPr>
          <w:rFonts w:asciiTheme="minorHAnsi" w:hAnsiTheme="minorHAnsi" w:cstheme="minorHAnsi"/>
          <w:sz w:val="22"/>
          <w:szCs w:val="22"/>
        </w:rPr>
        <w:t>9</w:t>
      </w:r>
      <w:r w:rsidR="00713C2F">
        <w:rPr>
          <w:rFonts w:asciiTheme="minorHAnsi" w:hAnsiTheme="minorHAnsi" w:cstheme="minorHAnsi"/>
          <w:sz w:val="22"/>
          <w:szCs w:val="22"/>
        </w:rPr>
        <w:t>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713C2F">
        <w:rPr>
          <w:rFonts w:asciiTheme="minorHAnsi" w:hAnsiTheme="minorHAnsi" w:cstheme="minorHAnsi"/>
          <w:sz w:val="22"/>
          <w:szCs w:val="22"/>
        </w:rPr>
        <w:t>76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57C03AF4"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AC2744">
        <w:rPr>
          <w:rFonts w:asciiTheme="minorHAnsi" w:hAnsiTheme="minorHAnsi" w:cstheme="minorHAnsi"/>
          <w:sz w:val="22"/>
          <w:szCs w:val="22"/>
        </w:rPr>
        <w:t>9</w:t>
      </w:r>
      <w:r w:rsidR="00713C2F">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C2744">
        <w:rPr>
          <w:rFonts w:asciiTheme="minorHAnsi" w:hAnsiTheme="minorHAnsi" w:cstheme="minorHAnsi"/>
          <w:sz w:val="22"/>
          <w:szCs w:val="22"/>
        </w:rPr>
        <w:t>10</w:t>
      </w:r>
      <w:r w:rsidR="00513E2B">
        <w:rPr>
          <w:rFonts w:asciiTheme="minorHAnsi" w:hAnsiTheme="minorHAnsi" w:cstheme="minorHAnsi"/>
          <w:sz w:val="22"/>
          <w:szCs w:val="22"/>
        </w:rPr>
        <w:t>,</w:t>
      </w:r>
      <w:r w:rsidR="009A4663">
        <w:rPr>
          <w:rFonts w:asciiTheme="minorHAnsi" w:hAnsiTheme="minorHAnsi" w:cstheme="minorHAnsi"/>
          <w:sz w:val="22"/>
          <w:szCs w:val="22"/>
        </w:rPr>
        <w:t>6</w:t>
      </w:r>
      <w:r w:rsidR="00713C2F">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2D4CC59" w:rsidR="00E812D9" w:rsidRDefault="00E812D9"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05CA1648"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713C2F">
        <w:rPr>
          <w:rFonts w:asciiTheme="minorHAnsi" w:hAnsiTheme="minorHAnsi" w:cstheme="minorHAnsi"/>
          <w:sz w:val="22"/>
          <w:szCs w:val="22"/>
        </w:rPr>
        <w:t>96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77777777" w:rsidR="00E812D9" w:rsidRPr="006E3A77" w:rsidRDefault="00E812D9"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224DE4C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713C2F">
        <w:rPr>
          <w:rFonts w:asciiTheme="minorHAnsi" w:hAnsiTheme="minorHAnsi" w:cstheme="minorHAnsi"/>
          <w:sz w:val="22"/>
          <w:szCs w:val="22"/>
        </w:rPr>
        <w:t>70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77777777" w:rsidR="00D149F2" w:rsidRDefault="00D149F2"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23F9F41C" w:rsidR="00765078" w:rsidRDefault="00411F86" w:rsidP="004F74EE">
      <w:pPr>
        <w:pBdr>
          <w:top w:val="single" w:sz="4" w:space="1" w:color="auto"/>
          <w:bottom w:val="single" w:sz="4" w:space="1" w:color="auto"/>
        </w:pBdr>
        <w:jc w:val="center"/>
        <w:rPr>
          <w:rFonts w:ascii="Calibri" w:hAnsi="Calibri" w:cs="Calibri"/>
          <w:sz w:val="22"/>
          <w:szCs w:val="22"/>
          <w:lang w:val="es-PE" w:eastAsia="en-US"/>
        </w:rPr>
      </w:pPr>
      <w:r w:rsidRPr="00411F86">
        <w:drawing>
          <wp:inline distT="0" distB="0" distL="0" distR="0" wp14:anchorId="070BEF74" wp14:editId="636D57FA">
            <wp:extent cx="8173085" cy="27622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7622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C63F4">
        <w:trPr>
          <w:trHeight w:val="4665"/>
        </w:trPr>
        <w:tc>
          <w:tcPr>
            <w:tcW w:w="5693" w:type="dxa"/>
            <w:tcBorders>
              <w:top w:val="single" w:sz="4" w:space="0" w:color="auto"/>
              <w:bottom w:val="single" w:sz="4" w:space="0" w:color="auto"/>
            </w:tcBorders>
            <w:shd w:val="clear" w:color="auto" w:fill="auto"/>
          </w:tcPr>
          <w:p w14:paraId="730DA91A" w14:textId="0073341F" w:rsidR="00F85D23" w:rsidRDefault="003C289C" w:rsidP="00FB4E04">
            <w:pPr>
              <w:ind w:left="-618" w:right="-654"/>
              <w:jc w:val="center"/>
              <w:rPr>
                <w:rFonts w:asciiTheme="minorHAnsi" w:hAnsiTheme="minorHAnsi" w:cstheme="minorHAnsi"/>
              </w:rPr>
            </w:pPr>
            <w:r w:rsidRPr="003C289C">
              <w:rPr>
                <w:rFonts w:asciiTheme="minorHAnsi" w:hAnsiTheme="minorHAnsi" w:cstheme="minorHAnsi"/>
                <w:noProof/>
              </w:rPr>
              <w:drawing>
                <wp:inline distT="0" distB="0" distL="0" distR="0" wp14:anchorId="292BE9E0" wp14:editId="3B780356">
                  <wp:extent cx="3685098" cy="2854518"/>
                  <wp:effectExtent l="0" t="0" r="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96610" cy="2863436"/>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56E68AA3" w:rsidR="00EF3BE9" w:rsidRPr="00CE793E" w:rsidRDefault="003C289C"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6B321DB8" wp14:editId="0C12EA37">
                  <wp:extent cx="5323204" cy="2480807"/>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86770" cy="2510431"/>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41A5DF3C" w:rsidR="006C63F4" w:rsidRPr="00737F8F" w:rsidRDefault="003C289C"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C289C">
        <w:drawing>
          <wp:inline distT="0" distB="0" distL="0" distR="0" wp14:anchorId="514D20D6" wp14:editId="581203F4">
            <wp:extent cx="5661025" cy="2282024"/>
            <wp:effectExtent l="0" t="0" r="0" b="444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9592" cy="2289509"/>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5BAC4F85" w:rsidR="005C4A97" w:rsidRDefault="003C289C" w:rsidP="00604758">
      <w:pPr>
        <w:spacing w:line="0" w:lineRule="atLeast"/>
        <w:ind w:right="-567"/>
        <w:jc w:val="both"/>
        <w:rPr>
          <w:rFonts w:asciiTheme="minorHAnsi" w:hAnsiTheme="minorHAnsi" w:cstheme="minorHAnsi"/>
          <w:i/>
          <w:sz w:val="18"/>
          <w:szCs w:val="18"/>
        </w:rPr>
      </w:pPr>
      <w:r w:rsidRPr="003C289C">
        <w:drawing>
          <wp:inline distT="0" distB="0" distL="0" distR="0" wp14:anchorId="78CEBB4D" wp14:editId="2DC19D07">
            <wp:extent cx="5850255" cy="227407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7729" cy="2276978"/>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33A2BC47" w:rsidR="00127A54" w:rsidRDefault="003C289C" w:rsidP="006220EA">
      <w:pPr>
        <w:rPr>
          <w:rFonts w:asciiTheme="minorHAnsi" w:hAnsiTheme="minorHAnsi" w:cstheme="minorHAnsi"/>
          <w:i/>
          <w:sz w:val="18"/>
          <w:szCs w:val="18"/>
        </w:rPr>
      </w:pPr>
      <w:r w:rsidRPr="003C289C">
        <w:drawing>
          <wp:inline distT="0" distB="0" distL="0" distR="0" wp14:anchorId="5D5C5DF5" wp14:editId="0CD0079E">
            <wp:extent cx="5850085" cy="752988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3980" cy="7534899"/>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66BA5ACA" w:rsidR="005048C1" w:rsidRPr="00C2751F" w:rsidRDefault="003C289C" w:rsidP="005048C1">
      <w:pPr>
        <w:spacing w:line="0" w:lineRule="atLeast"/>
        <w:ind w:right="-567"/>
        <w:jc w:val="both"/>
        <w:rPr>
          <w:noProof/>
          <w:lang w:val="es-PE" w:eastAsia="es-PE"/>
        </w:rPr>
      </w:pPr>
      <w:r w:rsidRPr="003C289C">
        <w:drawing>
          <wp:inline distT="0" distB="0" distL="0" distR="0" wp14:anchorId="75D24F1E" wp14:editId="52F21826">
            <wp:extent cx="5850255" cy="6186114"/>
            <wp:effectExtent l="0" t="0" r="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032" cy="6187993"/>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7FC70D84" w14:textId="77777777" w:rsidR="003C289C" w:rsidRDefault="003C289C" w:rsidP="003C289C">
      <w:pPr>
        <w:jc w:val="center"/>
        <w:rPr>
          <w:rFonts w:asciiTheme="minorHAnsi" w:hAnsiTheme="minorHAnsi" w:cstheme="minorHAnsi"/>
          <w:sz w:val="22"/>
          <w:szCs w:val="22"/>
        </w:rPr>
      </w:pPr>
      <w:r>
        <w:rPr>
          <w:noProof/>
        </w:rPr>
        <w:drawing>
          <wp:inline distT="0" distB="0" distL="0" distR="0" wp14:anchorId="7C42299D" wp14:editId="1143638D">
            <wp:extent cx="4644390" cy="2479730"/>
            <wp:effectExtent l="19050" t="19050" r="22860" b="15875"/>
            <wp:docPr id="14" name="Picture 2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51099" cy="2483312"/>
                    </a:xfrm>
                    <a:prstGeom prst="rect">
                      <a:avLst/>
                    </a:prstGeom>
                    <a:noFill/>
                    <a:ln>
                      <a:solidFill>
                        <a:schemeClr val="accent1"/>
                      </a:solidFill>
                    </a:ln>
                  </pic:spPr>
                </pic:pic>
              </a:graphicData>
            </a:graphic>
          </wp:inline>
        </w:drawing>
      </w:r>
    </w:p>
    <w:p w14:paraId="125E7A7D" w14:textId="77777777" w:rsidR="003C289C" w:rsidRDefault="003C289C" w:rsidP="003C289C">
      <w:pPr>
        <w:jc w:val="center"/>
        <w:rPr>
          <w:rFonts w:asciiTheme="minorHAnsi" w:hAnsiTheme="minorHAnsi" w:cstheme="minorHAnsi"/>
          <w:sz w:val="22"/>
          <w:szCs w:val="22"/>
        </w:rPr>
      </w:pPr>
    </w:p>
    <w:p w14:paraId="4D8DD8DD" w14:textId="77777777" w:rsidR="003C289C" w:rsidRDefault="003C289C" w:rsidP="003C289C">
      <w:pPr>
        <w:jc w:val="center"/>
        <w:rPr>
          <w:rFonts w:asciiTheme="minorHAnsi" w:hAnsiTheme="minorHAnsi" w:cstheme="minorHAnsi"/>
          <w:sz w:val="22"/>
          <w:szCs w:val="22"/>
        </w:rPr>
      </w:pPr>
      <w:r>
        <w:rPr>
          <w:noProof/>
        </w:rPr>
        <w:drawing>
          <wp:inline distT="0" distB="0" distL="0" distR="0" wp14:anchorId="614EC0E8" wp14:editId="254B7653">
            <wp:extent cx="4636770" cy="2475661"/>
            <wp:effectExtent l="19050" t="19050" r="11430" b="20320"/>
            <wp:docPr id="15" name="Picture 2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7571" cy="2481428"/>
                    </a:xfrm>
                    <a:prstGeom prst="rect">
                      <a:avLst/>
                    </a:prstGeom>
                    <a:noFill/>
                    <a:ln>
                      <a:solidFill>
                        <a:schemeClr val="accent1"/>
                      </a:solidFill>
                    </a:ln>
                  </pic:spPr>
                </pic:pic>
              </a:graphicData>
            </a:graphic>
          </wp:inline>
        </w:drawing>
      </w:r>
    </w:p>
    <w:p w14:paraId="55C56CC0" w14:textId="77777777" w:rsidR="003C289C" w:rsidRDefault="003C289C" w:rsidP="003C289C">
      <w:pPr>
        <w:jc w:val="center"/>
        <w:rPr>
          <w:rFonts w:asciiTheme="minorHAnsi" w:hAnsiTheme="minorHAnsi" w:cstheme="minorHAnsi"/>
          <w:sz w:val="22"/>
          <w:szCs w:val="22"/>
        </w:rPr>
      </w:pPr>
    </w:p>
    <w:p w14:paraId="11E9F31F" w14:textId="77777777" w:rsidR="003C289C" w:rsidRDefault="003C289C" w:rsidP="003C289C">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r>
        <w:rPr>
          <w:noProof/>
        </w:rPr>
        <w:drawing>
          <wp:inline distT="0" distB="0" distL="0" distR="0" wp14:anchorId="5B071329" wp14:editId="3976F0E6">
            <wp:extent cx="4529219" cy="2418238"/>
            <wp:effectExtent l="19050" t="19050" r="24130" b="20320"/>
            <wp:docPr id="27" name="Picture 2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29618" cy="2418451"/>
                    </a:xfrm>
                    <a:prstGeom prst="rect">
                      <a:avLst/>
                    </a:prstGeom>
                    <a:noFill/>
                    <a:ln>
                      <a:solidFill>
                        <a:schemeClr val="accent1"/>
                      </a:solidFill>
                    </a:ln>
                  </pic:spPr>
                </pic:pic>
              </a:graphicData>
            </a:graphic>
          </wp:inline>
        </w:drawing>
      </w:r>
    </w:p>
    <w:p w14:paraId="572098EB" w14:textId="77777777" w:rsidR="003C289C" w:rsidRDefault="003C289C" w:rsidP="003C289C">
      <w:pPr>
        <w:jc w:val="center"/>
        <w:rPr>
          <w:rFonts w:asciiTheme="minorHAnsi" w:hAnsiTheme="minorHAnsi" w:cstheme="minorHAnsi"/>
          <w:b/>
          <w:iCs/>
          <w:u w:val="single"/>
        </w:rPr>
      </w:pPr>
    </w:p>
    <w:p w14:paraId="1897531A" w14:textId="77777777" w:rsidR="003C289C" w:rsidRDefault="003C289C" w:rsidP="003C289C">
      <w:pPr>
        <w:jc w:val="center"/>
        <w:rPr>
          <w:rFonts w:asciiTheme="minorHAnsi" w:hAnsiTheme="minorHAnsi" w:cstheme="minorHAnsi"/>
          <w:b/>
          <w:iCs/>
          <w:u w:val="single"/>
        </w:rPr>
      </w:pPr>
      <w:r>
        <w:rPr>
          <w:noProof/>
        </w:rPr>
        <w:drawing>
          <wp:inline distT="0" distB="0" distL="0" distR="0" wp14:anchorId="23047BB4" wp14:editId="7E0A5B30">
            <wp:extent cx="4629150" cy="2471593"/>
            <wp:effectExtent l="19050" t="19050" r="19050" b="24130"/>
            <wp:docPr id="30" name="Picture 30"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38961" cy="2476831"/>
                    </a:xfrm>
                    <a:prstGeom prst="rect">
                      <a:avLst/>
                    </a:prstGeom>
                    <a:noFill/>
                    <a:ln>
                      <a:solidFill>
                        <a:schemeClr val="accent1"/>
                      </a:solidFill>
                    </a:ln>
                  </pic:spPr>
                </pic:pic>
              </a:graphicData>
            </a:graphic>
          </wp:inline>
        </w:drawing>
      </w:r>
    </w:p>
    <w:p w14:paraId="005BDD39" w14:textId="77777777" w:rsidR="003C289C" w:rsidRDefault="003C289C" w:rsidP="003C289C">
      <w:pPr>
        <w:rPr>
          <w:rFonts w:asciiTheme="minorHAnsi" w:hAnsiTheme="minorHAnsi" w:cstheme="minorHAnsi"/>
          <w:b/>
          <w:iCs/>
          <w:u w:val="single"/>
        </w:rPr>
      </w:pPr>
    </w:p>
    <w:p w14:paraId="5F427FD7" w14:textId="77777777" w:rsidR="003C289C" w:rsidRDefault="003C289C" w:rsidP="003C289C">
      <w:pPr>
        <w:rPr>
          <w:rFonts w:asciiTheme="minorHAnsi" w:hAnsiTheme="minorHAnsi" w:cstheme="minorHAnsi"/>
          <w:b/>
          <w:iCs/>
          <w:u w:val="single"/>
        </w:rPr>
      </w:pPr>
    </w:p>
    <w:p w14:paraId="152F346D" w14:textId="77777777" w:rsidR="003C289C" w:rsidRDefault="003C289C" w:rsidP="003C289C">
      <w:pPr>
        <w:rPr>
          <w:rFonts w:asciiTheme="minorHAnsi" w:hAnsiTheme="minorHAnsi" w:cstheme="minorHAnsi"/>
          <w:b/>
          <w:iCs/>
          <w:u w:val="single"/>
        </w:rPr>
      </w:pPr>
    </w:p>
    <w:p w14:paraId="4EFAE8E0" w14:textId="77777777" w:rsidR="003C289C" w:rsidRDefault="003C289C" w:rsidP="003C289C">
      <w:pPr>
        <w:rPr>
          <w:rFonts w:asciiTheme="minorHAnsi" w:hAnsiTheme="minorHAnsi" w:cstheme="minorHAnsi"/>
          <w:b/>
          <w:iCs/>
          <w:u w:val="single"/>
        </w:rPr>
      </w:pPr>
    </w:p>
    <w:p w14:paraId="0AC4CAD2" w14:textId="77777777" w:rsidR="003C289C" w:rsidRDefault="003C289C" w:rsidP="003C289C">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411F86"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9302814"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713C2F">
            <w:rPr>
              <w:rFonts w:ascii="Calibri" w:hAnsi="Calibri" w:cs="Calibri"/>
              <w:b/>
              <w:sz w:val="26"/>
              <w:szCs w:val="26"/>
              <w:lang w:val="it-IT"/>
            </w:rPr>
            <w:t>7</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45D5A1A"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E11377">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2EFCBF7"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713C2F">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EA8808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713C2F">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15</Pages>
  <Words>3047</Words>
  <Characters>16760</Characters>
  <Application>Microsoft Office Word</Application>
  <DocSecurity>0</DocSecurity>
  <Lines>139</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19768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2023-04-19T15:26:00Z</cp:lastPrinted>
  <dcterms:created xsi:type="dcterms:W3CDTF">2023-04-19T15:26:00Z</dcterms:created>
  <dcterms:modified xsi:type="dcterms:W3CDTF">2023-04-26T21:50:00Z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